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48F" w:rsidRPr="00831EBF" w:rsidRDefault="0005048F" w:rsidP="0005048F">
      <w:pPr>
        <w:spacing w:after="0" w:line="240" w:lineRule="auto"/>
        <w:ind w:left="900" w:right="600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  <w:r w:rsidRPr="00831EBF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КОМПЛЕКСНАЯ ОЦЕНКА РЕЗУЛЬТАТИВНОСТИ И ЭФФЕКТИВНОСТИ городских ЦЕЛЕВЫХ, долгосрочных и ведомственных ПРОГРАММ В 201</w:t>
      </w:r>
      <w:r w:rsidR="002F5FBC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3</w:t>
      </w:r>
      <w:r w:rsidRPr="00831EBF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 xml:space="preserve"> ГОДУ</w:t>
      </w:r>
    </w:p>
    <w:p w:rsidR="0005048F" w:rsidRPr="00831EBF" w:rsidRDefault="0005048F" w:rsidP="0005048F">
      <w:pPr>
        <w:spacing w:after="0" w:line="240" w:lineRule="auto"/>
        <w:ind w:left="900" w:right="600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05048F" w:rsidRPr="00831EBF" w:rsidRDefault="0005048F" w:rsidP="00E32D1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В 201</w:t>
      </w:r>
      <w:r w:rsidR="002F5FB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 работа по разработке</w:t>
      </w:r>
      <w:r w:rsidR="00656BF0" w:rsidRPr="00831EBF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реализации </w:t>
      </w:r>
      <w:r w:rsidR="00656BF0"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и оценке 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городских целевых программ производилась в соответствии с </w:t>
      </w:r>
      <w:r w:rsidR="00656BF0" w:rsidRPr="00831EBF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остановлением Мэра г.Переславля-Залесского от 11.08.2006 г. № 1002 «Об утверждении порядка разработки, принятия и реализации целевых программ» (в редакции от 01.12.2008 г. №1367, от 01.04.2010г. №357, от 16.06.2010 №785, </w:t>
      </w:r>
      <w:proofErr w:type="gramStart"/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23.04.2012 №</w:t>
      </w:r>
      <w:r w:rsidR="00656BF0" w:rsidRPr="00831EBF">
        <w:rPr>
          <w:rFonts w:ascii="Times New Roman" w:eastAsia="Times New Roman" w:hAnsi="Times New Roman"/>
          <w:sz w:val="24"/>
          <w:szCs w:val="24"/>
          <w:lang w:eastAsia="ru-RU"/>
        </w:rPr>
        <w:t>499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656BF0"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56BF0"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Работа по ведомственным программам производилась в соответствии с постановлением Мэра г. Переславля-Залесского от 31.08.2008 г. № 1524 «Об утверждении Положения о порядке разработки, утверждения и реализации ведомственных целевых программ». </w:t>
      </w:r>
      <w:r w:rsidR="009D5300" w:rsidRPr="00831EBF">
        <w:rPr>
          <w:rFonts w:ascii="Times New Roman" w:eastAsia="Times New Roman" w:hAnsi="Times New Roman"/>
          <w:sz w:val="24"/>
          <w:szCs w:val="24"/>
          <w:lang w:eastAsia="ru-RU"/>
        </w:rPr>
        <w:t>Осуществлялась</w:t>
      </w:r>
      <w:r w:rsidR="00656BF0"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реализация программ, принятых как 201</w:t>
      </w:r>
      <w:r w:rsidR="002F5FB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656BF0"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году, так и ранее утвержденных. Все программы принимались Постановлениями Администрации г. Переславля-Залесского.</w:t>
      </w:r>
    </w:p>
    <w:p w:rsidR="009D5300" w:rsidRPr="00831EBF" w:rsidRDefault="009D5300" w:rsidP="009D5300">
      <w:pPr>
        <w:spacing w:after="0" w:line="240" w:lineRule="auto"/>
        <w:ind w:right="60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В течение 201</w:t>
      </w:r>
      <w:r w:rsidR="002F5FB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вносились изменения в городские целевые, долгосрочные и ведомственные программы. Основными причинами внесения изменений были:</w:t>
      </w:r>
    </w:p>
    <w:p w:rsidR="009D5300" w:rsidRPr="00831EBF" w:rsidRDefault="009D5300" w:rsidP="009D5300">
      <w:pPr>
        <w:spacing w:after="0" w:line="240" w:lineRule="auto"/>
        <w:ind w:right="60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- изменение объемов финансирования;</w:t>
      </w:r>
    </w:p>
    <w:p w:rsidR="009D5300" w:rsidRPr="00831EBF" w:rsidRDefault="009D5300" w:rsidP="009D5300">
      <w:pPr>
        <w:spacing w:after="0" w:line="240" w:lineRule="auto"/>
        <w:ind w:right="60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- корректировка мероприятий или механизма реализации программы;</w:t>
      </w:r>
    </w:p>
    <w:p w:rsidR="009D5300" w:rsidRPr="00831EBF" w:rsidRDefault="009D5300" w:rsidP="009D5300">
      <w:pPr>
        <w:spacing w:after="0" w:line="240" w:lineRule="auto"/>
        <w:ind w:left="900" w:right="600" w:hanging="19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- изменение требований к программам.</w:t>
      </w:r>
    </w:p>
    <w:p w:rsidR="009D5300" w:rsidRPr="00BD19AC" w:rsidRDefault="009D5300" w:rsidP="0005048F">
      <w:pPr>
        <w:spacing w:after="0" w:line="240" w:lineRule="auto"/>
        <w:ind w:right="600" w:firstLine="709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4C22CB" w:rsidRDefault="00E60292" w:rsidP="0004003D">
      <w:pPr>
        <w:jc w:val="center"/>
      </w:pPr>
      <w:r>
        <w:rPr>
          <w:noProof/>
          <w:lang w:eastAsia="ru-RU"/>
        </w:rPr>
        <w:drawing>
          <wp:inline distT="0" distB="0" distL="0" distR="0" wp14:anchorId="2E580808" wp14:editId="34229DF6">
            <wp:extent cx="5940425" cy="3830100"/>
            <wp:effectExtent l="0" t="0" r="22225" b="1841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831EBF" w:rsidRDefault="00831EBF" w:rsidP="00E32D1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В течение года осуществлялась реализация 3</w:t>
      </w:r>
      <w:r w:rsidR="00CC2D0F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 (</w:t>
      </w:r>
      <w:r w:rsidR="00D278B9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ведомственных целевых программ, </w:t>
      </w:r>
      <w:r w:rsidR="00D278B9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городские адресные программы, 2</w:t>
      </w:r>
      <w:r w:rsidR="00671ED5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городские целевые программы) с плановым объемом финансирования из городского бюджета </w:t>
      </w:r>
      <w:r w:rsidR="00D278B9">
        <w:rPr>
          <w:rFonts w:ascii="Times New Roman" w:eastAsia="Times New Roman" w:hAnsi="Times New Roman"/>
          <w:sz w:val="24"/>
          <w:szCs w:val="24"/>
          <w:lang w:eastAsia="ru-RU"/>
        </w:rPr>
        <w:t>1 052 092,0</w:t>
      </w:r>
      <w:r w:rsidR="00671ED5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тыс. рублей. Фактический объем финансирования программ из бюджета составил  </w:t>
      </w:r>
      <w:r w:rsidR="00D278B9">
        <w:rPr>
          <w:rFonts w:ascii="Times New Roman" w:eastAsia="Times New Roman" w:hAnsi="Times New Roman"/>
          <w:sz w:val="24"/>
          <w:szCs w:val="24"/>
          <w:lang w:eastAsia="ru-RU"/>
        </w:rPr>
        <w:t>925 697,2</w:t>
      </w:r>
      <w:r w:rsidR="001B4EC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тыс. рублей или </w:t>
      </w:r>
      <w:r w:rsidR="00D278B9">
        <w:rPr>
          <w:rFonts w:ascii="Times New Roman" w:eastAsia="Times New Roman" w:hAnsi="Times New Roman"/>
          <w:sz w:val="24"/>
          <w:szCs w:val="24"/>
          <w:lang w:eastAsia="ru-RU"/>
        </w:rPr>
        <w:t>88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% от плана. </w:t>
      </w:r>
      <w:r w:rsidR="00F22390">
        <w:rPr>
          <w:rFonts w:ascii="Times New Roman" w:eastAsia="Times New Roman" w:hAnsi="Times New Roman"/>
          <w:sz w:val="24"/>
          <w:szCs w:val="24"/>
          <w:lang w:eastAsia="ru-RU"/>
        </w:rPr>
        <w:t xml:space="preserve">Большую часть </w:t>
      </w:r>
      <w:r w:rsidR="00BA209F">
        <w:rPr>
          <w:rFonts w:ascii="Times New Roman" w:eastAsia="Times New Roman" w:hAnsi="Times New Roman"/>
          <w:sz w:val="24"/>
          <w:szCs w:val="24"/>
          <w:lang w:eastAsia="ru-RU"/>
        </w:rPr>
        <w:t>программных расходов городского бюджета (</w:t>
      </w:r>
      <w:r w:rsidR="00D278B9">
        <w:rPr>
          <w:rFonts w:ascii="Times New Roman" w:eastAsia="Times New Roman" w:hAnsi="Times New Roman"/>
          <w:sz w:val="24"/>
          <w:szCs w:val="24"/>
          <w:lang w:eastAsia="ru-RU"/>
        </w:rPr>
        <w:t>50,5</w:t>
      </w:r>
      <w:r w:rsidR="00BA209F">
        <w:rPr>
          <w:rFonts w:ascii="Times New Roman" w:eastAsia="Times New Roman" w:hAnsi="Times New Roman"/>
          <w:sz w:val="24"/>
          <w:szCs w:val="24"/>
          <w:lang w:eastAsia="ru-RU"/>
        </w:rPr>
        <w:t xml:space="preserve">%) составила </w:t>
      </w:r>
      <w:r w:rsidRPr="00BA209F">
        <w:rPr>
          <w:rFonts w:ascii="Times New Roman" w:eastAsia="Times New Roman" w:hAnsi="Times New Roman"/>
          <w:sz w:val="24"/>
          <w:szCs w:val="24"/>
          <w:lang w:eastAsia="ru-RU"/>
        </w:rPr>
        <w:t>ведомственн</w:t>
      </w:r>
      <w:r w:rsidR="00BA209F">
        <w:rPr>
          <w:rFonts w:ascii="Times New Roman" w:eastAsia="Times New Roman" w:hAnsi="Times New Roman"/>
          <w:sz w:val="24"/>
          <w:szCs w:val="24"/>
          <w:lang w:eastAsia="ru-RU"/>
        </w:rPr>
        <w:t>ая</w:t>
      </w:r>
      <w:r w:rsidRPr="00BA209F">
        <w:rPr>
          <w:rFonts w:ascii="Times New Roman" w:eastAsia="Times New Roman" w:hAnsi="Times New Roman"/>
          <w:sz w:val="24"/>
          <w:szCs w:val="24"/>
          <w:lang w:eastAsia="ru-RU"/>
        </w:rPr>
        <w:t xml:space="preserve"> целев</w:t>
      </w:r>
      <w:r w:rsidR="00AE211F">
        <w:rPr>
          <w:rFonts w:ascii="Times New Roman" w:eastAsia="Times New Roman" w:hAnsi="Times New Roman"/>
          <w:sz w:val="24"/>
          <w:szCs w:val="24"/>
          <w:lang w:eastAsia="ru-RU"/>
        </w:rPr>
        <w:t>ая</w:t>
      </w:r>
      <w:r w:rsidRPr="00BA209F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</w:t>
      </w:r>
      <w:r w:rsidR="00AE211F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BA209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A209F" w:rsidRPr="00BA209F">
        <w:rPr>
          <w:rFonts w:ascii="Times New Roman" w:eastAsia="Times New Roman" w:hAnsi="Times New Roman"/>
          <w:sz w:val="24"/>
          <w:szCs w:val="24"/>
          <w:lang w:eastAsia="ru-RU"/>
        </w:rPr>
        <w:t>ВЦП "Обеспечение функционирования и развития муниципальной системы образования города Переславля-</w:t>
      </w:r>
      <w:r w:rsidR="00BA209F" w:rsidRPr="00BA209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Залесского на 2011-2013 годы"</w:t>
      </w:r>
      <w:r w:rsidR="00AE211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A209F" w:rsidRPr="00BA209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В истекшем году доля бюджетных расходов предусмотренных на реализацию целевых программ составила </w:t>
      </w:r>
      <w:r w:rsidR="00D278B9">
        <w:rPr>
          <w:rFonts w:ascii="Times New Roman" w:eastAsia="Times New Roman" w:hAnsi="Times New Roman"/>
          <w:sz w:val="24"/>
          <w:szCs w:val="24"/>
          <w:lang w:eastAsia="ru-RU"/>
        </w:rPr>
        <w:t>81,3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%. Увеличение в сравнении с прошлым годом на </w:t>
      </w:r>
      <w:r w:rsidR="00C07941">
        <w:rPr>
          <w:rFonts w:ascii="Times New Roman" w:eastAsia="Times New Roman" w:hAnsi="Times New Roman"/>
          <w:sz w:val="24"/>
          <w:szCs w:val="24"/>
          <w:lang w:eastAsia="ru-RU"/>
        </w:rPr>
        <w:t>2,8 процентных пункта.</w:t>
      </w:r>
    </w:p>
    <w:p w:rsidR="00F92850" w:rsidRDefault="00F92850" w:rsidP="00831EBF">
      <w:pPr>
        <w:spacing w:after="0" w:line="240" w:lineRule="auto"/>
        <w:ind w:right="60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7941" w:rsidRPr="00C07941" w:rsidRDefault="001920D5" w:rsidP="00831EBF">
      <w:pPr>
        <w:spacing w:after="0" w:line="240" w:lineRule="auto"/>
        <w:ind w:right="60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6B2FADF1" wp14:editId="30554B74">
            <wp:extent cx="5410200" cy="3665220"/>
            <wp:effectExtent l="0" t="0" r="19050" b="1143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C07941" w:rsidRPr="00C07941" w:rsidRDefault="00C07941" w:rsidP="00C079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07941">
        <w:rPr>
          <w:rFonts w:ascii="Times New Roman" w:hAnsi="Times New Roman"/>
          <w:sz w:val="24"/>
          <w:szCs w:val="24"/>
        </w:rPr>
        <w:t xml:space="preserve">В разрезе уровней бюджета программные мероприятия выглядят следующим образом: </w:t>
      </w:r>
    </w:p>
    <w:p w:rsidR="00C07941" w:rsidRPr="00C07941" w:rsidRDefault="00C07941" w:rsidP="00C0794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07941">
        <w:rPr>
          <w:rFonts w:ascii="Times New Roman" w:hAnsi="Times New Roman"/>
          <w:b/>
          <w:i/>
          <w:sz w:val="24"/>
          <w:szCs w:val="24"/>
        </w:rPr>
        <w:t>- Федеральный бюджет – 40,7 млн. руб. или 4,4%;</w:t>
      </w:r>
    </w:p>
    <w:p w:rsidR="00C07941" w:rsidRPr="00C07941" w:rsidRDefault="00C07941" w:rsidP="00C0794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07941">
        <w:rPr>
          <w:rFonts w:ascii="Times New Roman" w:hAnsi="Times New Roman"/>
          <w:b/>
          <w:i/>
          <w:sz w:val="24"/>
          <w:szCs w:val="24"/>
        </w:rPr>
        <w:t>- Областной бюджет – 484,1 млн. руб. или 52,3%;</w:t>
      </w:r>
    </w:p>
    <w:p w:rsidR="00C07941" w:rsidRPr="00C07941" w:rsidRDefault="00C07941" w:rsidP="00C0794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07941">
        <w:rPr>
          <w:rFonts w:ascii="Times New Roman" w:hAnsi="Times New Roman"/>
          <w:b/>
          <w:i/>
          <w:sz w:val="24"/>
          <w:szCs w:val="24"/>
        </w:rPr>
        <w:t>- Городской бюджет – 375,3 млн. руб. или 40,6%;</w:t>
      </w:r>
    </w:p>
    <w:p w:rsidR="00C07941" w:rsidRPr="00C07941" w:rsidRDefault="00C07941" w:rsidP="00C0794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07941">
        <w:rPr>
          <w:rFonts w:ascii="Times New Roman" w:hAnsi="Times New Roman"/>
          <w:b/>
          <w:i/>
          <w:sz w:val="24"/>
          <w:szCs w:val="24"/>
        </w:rPr>
        <w:t>- Средства Фонда содействия реформирования ЖКХ – 20,6 млн. руб. или 2,2%;</w:t>
      </w:r>
    </w:p>
    <w:p w:rsidR="00C07941" w:rsidRPr="00C07941" w:rsidRDefault="00C07941" w:rsidP="00C0794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07941">
        <w:rPr>
          <w:rFonts w:ascii="Times New Roman" w:hAnsi="Times New Roman"/>
          <w:b/>
          <w:i/>
          <w:sz w:val="24"/>
          <w:szCs w:val="24"/>
        </w:rPr>
        <w:t>- Внебюджетные источники – 5,0 млн. руб. или 0,5%</w:t>
      </w:r>
    </w:p>
    <w:p w:rsidR="00C07941" w:rsidRPr="00C07941" w:rsidRDefault="00C07941" w:rsidP="00C079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7941">
        <w:rPr>
          <w:rFonts w:ascii="Times New Roman" w:hAnsi="Times New Roman"/>
          <w:sz w:val="24"/>
          <w:szCs w:val="24"/>
        </w:rPr>
        <w:tab/>
        <w:t xml:space="preserve">В объеме программных мероприятий в 2013 году были предусмотрены средства на исполнение бюджетных инвестиций за счет бюджетов всех уровней в сумме – 96,8 млн. руб., в том числе </w:t>
      </w:r>
      <w:proofErr w:type="gramStart"/>
      <w:r w:rsidRPr="00C07941">
        <w:rPr>
          <w:rFonts w:ascii="Times New Roman" w:hAnsi="Times New Roman"/>
          <w:sz w:val="24"/>
          <w:szCs w:val="24"/>
        </w:rPr>
        <w:t>на</w:t>
      </w:r>
      <w:proofErr w:type="gramEnd"/>
      <w:r w:rsidRPr="00C07941">
        <w:rPr>
          <w:rFonts w:ascii="Times New Roman" w:hAnsi="Times New Roman"/>
          <w:sz w:val="24"/>
          <w:szCs w:val="24"/>
        </w:rPr>
        <w:t xml:space="preserve">: </w:t>
      </w:r>
    </w:p>
    <w:p w:rsidR="00C07941" w:rsidRPr="00C07941" w:rsidRDefault="00C07941" w:rsidP="00C079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7941">
        <w:rPr>
          <w:rFonts w:ascii="Times New Roman" w:hAnsi="Times New Roman"/>
          <w:sz w:val="24"/>
          <w:szCs w:val="24"/>
        </w:rPr>
        <w:t>1) Реконструкция автомобильных дорог — 38,7 млн. руб.</w:t>
      </w:r>
    </w:p>
    <w:p w:rsidR="00C07941" w:rsidRPr="00C07941" w:rsidRDefault="00C07941" w:rsidP="00C079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7941">
        <w:rPr>
          <w:rFonts w:ascii="Times New Roman" w:hAnsi="Times New Roman"/>
          <w:sz w:val="24"/>
          <w:szCs w:val="24"/>
        </w:rPr>
        <w:t>2) Строительство плоскостных сооружений — 9,5 млн. руб.</w:t>
      </w:r>
    </w:p>
    <w:p w:rsidR="00C07941" w:rsidRPr="00C07941" w:rsidRDefault="00C07941" w:rsidP="00C079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7941">
        <w:rPr>
          <w:rFonts w:ascii="Times New Roman" w:hAnsi="Times New Roman"/>
          <w:sz w:val="24"/>
          <w:szCs w:val="24"/>
        </w:rPr>
        <w:t>3)Установка детских игровых площадок —3,5 млн. руб.</w:t>
      </w:r>
    </w:p>
    <w:p w:rsidR="00C07941" w:rsidRPr="00C07941" w:rsidRDefault="00C07941" w:rsidP="00C079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7941">
        <w:rPr>
          <w:rFonts w:ascii="Times New Roman" w:hAnsi="Times New Roman"/>
          <w:sz w:val="24"/>
          <w:szCs w:val="24"/>
        </w:rPr>
        <w:t>3) Строительство межшкольного стадиона — 14,0 млн. руб.</w:t>
      </w:r>
    </w:p>
    <w:p w:rsidR="00C07941" w:rsidRPr="00C07941" w:rsidRDefault="00C07941" w:rsidP="00C079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7941">
        <w:rPr>
          <w:rFonts w:ascii="Times New Roman" w:hAnsi="Times New Roman"/>
          <w:sz w:val="24"/>
          <w:szCs w:val="24"/>
        </w:rPr>
        <w:t>4) ПСД стадиона «Юность» - 1,1 млн. руб.</w:t>
      </w:r>
    </w:p>
    <w:p w:rsidR="00C07941" w:rsidRPr="00C07941" w:rsidRDefault="00C07941" w:rsidP="00C079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7941">
        <w:rPr>
          <w:rFonts w:ascii="Times New Roman" w:hAnsi="Times New Roman"/>
          <w:sz w:val="24"/>
          <w:szCs w:val="24"/>
        </w:rPr>
        <w:t>5) Завершение строительства крытого катка – 1,3 млн. руб.</w:t>
      </w:r>
    </w:p>
    <w:p w:rsidR="00C07941" w:rsidRPr="00C07941" w:rsidRDefault="00C07941" w:rsidP="00C079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7941">
        <w:rPr>
          <w:rFonts w:ascii="Times New Roman" w:hAnsi="Times New Roman"/>
          <w:sz w:val="24"/>
          <w:szCs w:val="24"/>
        </w:rPr>
        <w:t>6) Переселение из аварийного жилищного фонда – 21,6 млн. руб.</w:t>
      </w:r>
    </w:p>
    <w:p w:rsidR="00C07941" w:rsidRPr="00C07941" w:rsidRDefault="00C07941" w:rsidP="00C079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7941">
        <w:rPr>
          <w:rFonts w:ascii="Times New Roman" w:hAnsi="Times New Roman"/>
          <w:sz w:val="24"/>
          <w:szCs w:val="24"/>
        </w:rPr>
        <w:t>7) Переселение из жилищного фонда с высоким уровнем износа – 5,0 млн. руб.</w:t>
      </w:r>
    </w:p>
    <w:p w:rsidR="00C07941" w:rsidRPr="00C07941" w:rsidRDefault="00C07941" w:rsidP="00C079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7941">
        <w:rPr>
          <w:rFonts w:ascii="Times New Roman" w:hAnsi="Times New Roman"/>
          <w:sz w:val="24"/>
          <w:szCs w:val="24"/>
        </w:rPr>
        <w:t>8) Капитальный ремонт МБУ «ТИЦ» — 0,5 млн. руб.</w:t>
      </w:r>
    </w:p>
    <w:p w:rsidR="00C07941" w:rsidRPr="00C07941" w:rsidRDefault="00C07941" w:rsidP="00C07941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C07941">
        <w:rPr>
          <w:rFonts w:ascii="Times New Roman" w:hAnsi="Times New Roman"/>
          <w:sz w:val="24"/>
          <w:szCs w:val="24"/>
        </w:rPr>
        <w:t>9) Модернизация ЖКХ — 1,6 млн. руб.</w:t>
      </w:r>
    </w:p>
    <w:p w:rsidR="00E32D19" w:rsidRPr="00E32D19" w:rsidRDefault="00E32D19" w:rsidP="00F92850">
      <w:pPr>
        <w:spacing w:after="0" w:line="240" w:lineRule="auto"/>
        <w:ind w:right="60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003D" w:rsidRDefault="007E1FB7" w:rsidP="00E32D19">
      <w:r>
        <w:rPr>
          <w:noProof/>
          <w:lang w:eastAsia="ru-RU"/>
        </w:rPr>
        <w:lastRenderedPageBreak/>
        <w:drawing>
          <wp:inline distT="0" distB="0" distL="0" distR="0" wp14:anchorId="21122C1D" wp14:editId="2EBE61A4">
            <wp:extent cx="5410200" cy="3634740"/>
            <wp:effectExtent l="0" t="0" r="19050" b="2286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E32D19" w:rsidRPr="00D17AB0" w:rsidRDefault="00E32D19" w:rsidP="00411BE5">
      <w:pPr>
        <w:tabs>
          <w:tab w:val="left" w:pos="9355"/>
        </w:tabs>
        <w:spacing w:after="0" w:line="240" w:lineRule="auto"/>
        <w:ind w:right="-1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AB0">
        <w:rPr>
          <w:rFonts w:ascii="Times New Roman" w:eastAsia="Times New Roman" w:hAnsi="Times New Roman"/>
          <w:sz w:val="24"/>
          <w:szCs w:val="24"/>
          <w:lang w:eastAsia="ru-RU"/>
        </w:rPr>
        <w:t xml:space="preserve">Реализация программ в истекшем году осуществлялась по </w:t>
      </w:r>
      <w:r w:rsidR="00083810">
        <w:rPr>
          <w:rFonts w:ascii="Times New Roman" w:eastAsia="Times New Roman" w:hAnsi="Times New Roman"/>
          <w:sz w:val="24"/>
          <w:szCs w:val="24"/>
          <w:lang w:eastAsia="ru-RU"/>
        </w:rPr>
        <w:t>шести</w:t>
      </w:r>
      <w:r w:rsidRPr="00D17A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основным направлениям</w:t>
      </w:r>
      <w:r w:rsidRPr="00D17AB0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E32D19" w:rsidRPr="00D17AB0" w:rsidRDefault="00E32D19" w:rsidP="00411BE5">
      <w:pPr>
        <w:spacing w:after="0" w:line="240" w:lineRule="auto"/>
        <w:ind w:right="-1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AB0">
        <w:rPr>
          <w:rFonts w:ascii="Times New Roman" w:eastAsia="Times New Roman" w:hAnsi="Times New Roman"/>
          <w:sz w:val="24"/>
          <w:szCs w:val="24"/>
          <w:lang w:eastAsia="ru-RU"/>
        </w:rPr>
        <w:t xml:space="preserve">- физическая культура и спорт – </w:t>
      </w:r>
      <w:r w:rsidR="00411BE5">
        <w:rPr>
          <w:rFonts w:ascii="Times New Roman" w:eastAsia="Times New Roman" w:hAnsi="Times New Roman"/>
          <w:sz w:val="24"/>
          <w:szCs w:val="24"/>
          <w:lang w:eastAsia="ru-RU"/>
        </w:rPr>
        <w:t>одна</w:t>
      </w:r>
      <w:r w:rsidRPr="00D17AB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</w:t>
      </w:r>
      <w:r w:rsidR="00411BE5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D17AB0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32D19" w:rsidRPr="00D17AB0" w:rsidRDefault="00E32D19" w:rsidP="00411BE5">
      <w:pPr>
        <w:spacing w:after="0" w:line="240" w:lineRule="auto"/>
        <w:ind w:right="-1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AB0">
        <w:rPr>
          <w:rFonts w:ascii="Times New Roman" w:eastAsia="Times New Roman" w:hAnsi="Times New Roman"/>
          <w:sz w:val="24"/>
          <w:szCs w:val="24"/>
          <w:lang w:eastAsia="ru-RU"/>
        </w:rPr>
        <w:t xml:space="preserve">- образование и молодежная политика – </w:t>
      </w:r>
      <w:r w:rsidR="00513CC3">
        <w:rPr>
          <w:rFonts w:ascii="Times New Roman" w:eastAsia="Times New Roman" w:hAnsi="Times New Roman"/>
          <w:sz w:val="24"/>
          <w:szCs w:val="24"/>
          <w:lang w:eastAsia="ru-RU"/>
        </w:rPr>
        <w:t>две</w:t>
      </w:r>
      <w:r w:rsidRPr="00D17AB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</w:t>
      </w:r>
      <w:r w:rsidR="00513CC3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D17AB0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32D19" w:rsidRPr="00D17AB0" w:rsidRDefault="00E32D19" w:rsidP="00411BE5">
      <w:pPr>
        <w:spacing w:after="0" w:line="240" w:lineRule="auto"/>
        <w:ind w:right="-1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AB0">
        <w:rPr>
          <w:rFonts w:ascii="Times New Roman" w:eastAsia="Times New Roman" w:hAnsi="Times New Roman"/>
          <w:sz w:val="24"/>
          <w:szCs w:val="24"/>
          <w:lang w:eastAsia="ru-RU"/>
        </w:rPr>
        <w:t xml:space="preserve">- социальная политика – </w:t>
      </w:r>
      <w:r w:rsidR="00513CC3">
        <w:rPr>
          <w:rFonts w:ascii="Times New Roman" w:eastAsia="Times New Roman" w:hAnsi="Times New Roman"/>
          <w:sz w:val="24"/>
          <w:szCs w:val="24"/>
          <w:lang w:eastAsia="ru-RU"/>
        </w:rPr>
        <w:t>восемь</w:t>
      </w:r>
      <w:r w:rsidRPr="00D17AB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программ;</w:t>
      </w:r>
    </w:p>
    <w:p w:rsidR="00E32D19" w:rsidRPr="00D17AB0" w:rsidRDefault="00E32D19" w:rsidP="00411BE5">
      <w:pPr>
        <w:spacing w:after="0" w:line="240" w:lineRule="auto"/>
        <w:ind w:left="426"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AB0">
        <w:rPr>
          <w:rFonts w:ascii="Times New Roman" w:eastAsia="Times New Roman" w:hAnsi="Times New Roman"/>
          <w:sz w:val="24"/>
          <w:szCs w:val="24"/>
          <w:lang w:eastAsia="ru-RU"/>
        </w:rPr>
        <w:t>- культура и туризм – две программы;</w:t>
      </w:r>
    </w:p>
    <w:p w:rsidR="00E32D19" w:rsidRPr="00D17AB0" w:rsidRDefault="00E32D19" w:rsidP="00411BE5">
      <w:pPr>
        <w:spacing w:after="0" w:line="240" w:lineRule="auto"/>
        <w:ind w:right="-1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AB0">
        <w:rPr>
          <w:rFonts w:ascii="Times New Roman" w:eastAsia="Times New Roman" w:hAnsi="Times New Roman"/>
          <w:sz w:val="24"/>
          <w:szCs w:val="24"/>
          <w:lang w:eastAsia="ru-RU"/>
        </w:rPr>
        <w:t xml:space="preserve">- жилищно-коммунальное хозяйство и градостроительство – </w:t>
      </w:r>
      <w:r w:rsidR="00513CC3">
        <w:rPr>
          <w:rFonts w:ascii="Times New Roman" w:eastAsia="Times New Roman" w:hAnsi="Times New Roman"/>
          <w:sz w:val="24"/>
          <w:szCs w:val="24"/>
          <w:lang w:eastAsia="ru-RU"/>
        </w:rPr>
        <w:t>одиннадцать</w:t>
      </w:r>
      <w:r w:rsidRPr="00D17AB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программ;</w:t>
      </w:r>
    </w:p>
    <w:p w:rsidR="00E32D19" w:rsidRPr="00D17AB0" w:rsidRDefault="00E32D19" w:rsidP="00411BE5">
      <w:pPr>
        <w:tabs>
          <w:tab w:val="left" w:pos="9355"/>
        </w:tabs>
        <w:spacing w:after="0" w:line="240" w:lineRule="auto"/>
        <w:ind w:left="900" w:right="-1" w:hanging="47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AB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411BE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17AB0">
        <w:rPr>
          <w:rFonts w:ascii="Times New Roman" w:eastAsia="Times New Roman" w:hAnsi="Times New Roman"/>
          <w:sz w:val="24"/>
          <w:szCs w:val="24"/>
          <w:lang w:eastAsia="ru-RU"/>
        </w:rPr>
        <w:t xml:space="preserve">прочие – </w:t>
      </w:r>
      <w:r w:rsidR="00513CC3">
        <w:rPr>
          <w:rFonts w:ascii="Times New Roman" w:eastAsia="Times New Roman" w:hAnsi="Times New Roman"/>
          <w:sz w:val="24"/>
          <w:szCs w:val="24"/>
          <w:lang w:eastAsia="ru-RU"/>
        </w:rPr>
        <w:t>восемь</w:t>
      </w:r>
      <w:r w:rsidRPr="00D17AB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программы.</w:t>
      </w:r>
    </w:p>
    <w:p w:rsidR="008440F7" w:rsidRDefault="00E32D19" w:rsidP="00411BE5">
      <w:pPr>
        <w:spacing w:after="0" w:line="240" w:lineRule="auto"/>
        <w:ind w:right="-1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AB0">
        <w:rPr>
          <w:rFonts w:ascii="Times New Roman" w:eastAsia="Times New Roman" w:hAnsi="Times New Roman"/>
          <w:sz w:val="24"/>
          <w:szCs w:val="24"/>
          <w:lang w:eastAsia="ru-RU"/>
        </w:rPr>
        <w:t xml:space="preserve">Наибольший удельный вес в расходах городского бюджета на финансирование программ приходится на сферы:  </w:t>
      </w:r>
    </w:p>
    <w:p w:rsidR="00E32D19" w:rsidRDefault="00E32D19" w:rsidP="008440F7">
      <w:pPr>
        <w:spacing w:after="0" w:line="240" w:lineRule="auto"/>
        <w:ind w:right="-1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AB0">
        <w:rPr>
          <w:rFonts w:ascii="Times New Roman" w:eastAsia="Times New Roman" w:hAnsi="Times New Roman"/>
          <w:sz w:val="24"/>
          <w:szCs w:val="24"/>
          <w:lang w:eastAsia="ru-RU"/>
        </w:rPr>
        <w:t>образование и молодежная политика</w:t>
      </w:r>
      <w:r w:rsidR="008440F7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4B260C">
        <w:rPr>
          <w:rFonts w:ascii="Times New Roman" w:eastAsia="Times New Roman" w:hAnsi="Times New Roman"/>
          <w:sz w:val="24"/>
          <w:szCs w:val="24"/>
          <w:lang w:eastAsia="ru-RU"/>
        </w:rPr>
        <w:t>52</w:t>
      </w:r>
      <w:r w:rsidR="008440F7">
        <w:rPr>
          <w:rFonts w:ascii="Times New Roman" w:eastAsia="Times New Roman" w:hAnsi="Times New Roman"/>
          <w:sz w:val="24"/>
          <w:szCs w:val="24"/>
          <w:lang w:eastAsia="ru-RU"/>
        </w:rPr>
        <w:t>%</w:t>
      </w:r>
      <w:r w:rsidRPr="00D17AB0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7E1FB7" w:rsidRPr="00D17AB0" w:rsidRDefault="007E1FB7" w:rsidP="007E1FB7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на социальную политику – 1</w:t>
      </w:r>
      <w:r w:rsidR="004B260C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%;</w:t>
      </w:r>
    </w:p>
    <w:p w:rsidR="00E32D19" w:rsidRPr="00D17AB0" w:rsidRDefault="00E32D19" w:rsidP="00411BE5">
      <w:pPr>
        <w:spacing w:after="0" w:line="240" w:lineRule="auto"/>
        <w:ind w:right="-1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AB0">
        <w:rPr>
          <w:rFonts w:ascii="Times New Roman" w:eastAsia="Times New Roman" w:hAnsi="Times New Roman"/>
          <w:sz w:val="24"/>
          <w:szCs w:val="24"/>
          <w:lang w:eastAsia="ru-RU"/>
        </w:rPr>
        <w:t xml:space="preserve">на физическую культуру и спорт приходится </w:t>
      </w:r>
      <w:r w:rsidR="008440F7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D17AB0">
        <w:rPr>
          <w:rFonts w:ascii="Times New Roman" w:eastAsia="Times New Roman" w:hAnsi="Times New Roman"/>
          <w:sz w:val="24"/>
          <w:szCs w:val="24"/>
          <w:lang w:eastAsia="ru-RU"/>
        </w:rPr>
        <w:t>%  программных расходов;</w:t>
      </w:r>
    </w:p>
    <w:p w:rsidR="00E32D19" w:rsidRPr="00D17AB0" w:rsidRDefault="00E32D19" w:rsidP="00411BE5">
      <w:pPr>
        <w:spacing w:after="0" w:line="240" w:lineRule="auto"/>
        <w:ind w:right="-1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AB0">
        <w:rPr>
          <w:rFonts w:ascii="Times New Roman" w:eastAsia="Times New Roman" w:hAnsi="Times New Roman"/>
          <w:sz w:val="24"/>
          <w:szCs w:val="24"/>
          <w:lang w:eastAsia="ru-RU"/>
        </w:rPr>
        <w:t>на жилищно-коммунальное хозяйство  –</w:t>
      </w:r>
      <w:r w:rsidR="004B260C">
        <w:rPr>
          <w:rFonts w:ascii="Times New Roman" w:eastAsia="Times New Roman" w:hAnsi="Times New Roman"/>
          <w:sz w:val="24"/>
          <w:szCs w:val="24"/>
          <w:lang w:eastAsia="ru-RU"/>
        </w:rPr>
        <w:t>24</w:t>
      </w:r>
      <w:r w:rsidRPr="00D17AB0">
        <w:rPr>
          <w:rFonts w:ascii="Times New Roman" w:eastAsia="Times New Roman" w:hAnsi="Times New Roman"/>
          <w:sz w:val="24"/>
          <w:szCs w:val="24"/>
          <w:lang w:eastAsia="ru-RU"/>
        </w:rPr>
        <w:t>%</w:t>
      </w:r>
    </w:p>
    <w:p w:rsidR="00E32D19" w:rsidRPr="00D17AB0" w:rsidRDefault="00E32D19" w:rsidP="00411BE5">
      <w:pPr>
        <w:spacing w:after="0" w:line="240" w:lineRule="auto"/>
        <w:ind w:right="-1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AB0">
        <w:rPr>
          <w:rFonts w:ascii="Times New Roman" w:eastAsia="Times New Roman" w:hAnsi="Times New Roman"/>
          <w:sz w:val="24"/>
          <w:szCs w:val="24"/>
          <w:lang w:eastAsia="ru-RU"/>
        </w:rPr>
        <w:t xml:space="preserve">на все остальные сферы приходится немного больше 1%. </w:t>
      </w:r>
    </w:p>
    <w:p w:rsidR="00E32D19" w:rsidRPr="00D17AB0" w:rsidRDefault="00E32D19" w:rsidP="00411BE5">
      <w:pPr>
        <w:spacing w:after="0" w:line="240" w:lineRule="auto"/>
        <w:ind w:right="-1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AB0">
        <w:rPr>
          <w:rFonts w:ascii="Times New Roman" w:eastAsia="Times New Roman" w:hAnsi="Times New Roman"/>
          <w:sz w:val="24"/>
          <w:szCs w:val="24"/>
          <w:lang w:eastAsia="ru-RU"/>
        </w:rPr>
        <w:t>Данное распределение связано с реализацией Управлением образования крупн</w:t>
      </w:r>
      <w:r w:rsidR="007E1FB7">
        <w:rPr>
          <w:rFonts w:ascii="Times New Roman" w:eastAsia="Times New Roman" w:hAnsi="Times New Roman"/>
          <w:sz w:val="24"/>
          <w:szCs w:val="24"/>
          <w:lang w:eastAsia="ru-RU"/>
        </w:rPr>
        <w:t xml:space="preserve">ой </w:t>
      </w:r>
      <w:r w:rsidRPr="00D17AB0">
        <w:rPr>
          <w:rFonts w:ascii="Times New Roman" w:eastAsia="Times New Roman" w:hAnsi="Times New Roman"/>
          <w:sz w:val="24"/>
          <w:szCs w:val="24"/>
          <w:lang w:eastAsia="ru-RU"/>
        </w:rPr>
        <w:t>ведомственн</w:t>
      </w:r>
      <w:r w:rsidR="007E1FB7"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Pr="00D17AB0">
        <w:rPr>
          <w:rFonts w:ascii="Times New Roman" w:eastAsia="Times New Roman" w:hAnsi="Times New Roman"/>
          <w:sz w:val="24"/>
          <w:szCs w:val="24"/>
          <w:lang w:eastAsia="ru-RU"/>
        </w:rPr>
        <w:t xml:space="preserve"> целев</w:t>
      </w:r>
      <w:r w:rsidR="007E1FB7"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Pr="00D17AB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</w:t>
      </w:r>
      <w:r w:rsidR="007E1FB7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D17AB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32D19" w:rsidRPr="00D17AB0" w:rsidRDefault="00E32D19" w:rsidP="00411BE5">
      <w:pPr>
        <w:spacing w:after="0" w:line="240" w:lineRule="auto"/>
        <w:ind w:right="-1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AB0">
        <w:rPr>
          <w:rFonts w:ascii="Times New Roman" w:eastAsia="Times New Roman" w:hAnsi="Times New Roman"/>
          <w:sz w:val="24"/>
          <w:szCs w:val="24"/>
          <w:lang w:eastAsia="ru-RU"/>
        </w:rPr>
        <w:t xml:space="preserve">Подробная информация о выполнении программ по основным блокам приведена в таблице в виде приложения 1 </w:t>
      </w:r>
      <w:r w:rsidRPr="00D17AB0">
        <w:rPr>
          <w:rFonts w:ascii="Times New Roman" w:eastAsia="Times New Roman" w:hAnsi="Times New Roman"/>
          <w:sz w:val="24"/>
          <w:szCs w:val="24"/>
          <w:lang w:val="en-US" w:eastAsia="ru-RU"/>
        </w:rPr>
        <w:t>Excel</w:t>
      </w:r>
      <w:r w:rsidRPr="00D17AB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32D19" w:rsidRPr="00D17AB0" w:rsidRDefault="00E32D19" w:rsidP="00411BE5">
      <w:pPr>
        <w:spacing w:after="0" w:line="240" w:lineRule="auto"/>
        <w:ind w:left="900" w:right="60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AB0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E32D19" w:rsidRPr="00D17AB0" w:rsidRDefault="00E32D19" w:rsidP="00411BE5">
      <w:pPr>
        <w:spacing w:after="0" w:line="240" w:lineRule="auto"/>
        <w:ind w:right="600" w:firstLine="426"/>
        <w:jc w:val="center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 w:rsidRPr="00D17AB0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III</w:t>
      </w:r>
      <w:r w:rsidRPr="00D17A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 Общая оценка результативности и эффективности программ</w:t>
      </w:r>
    </w:p>
    <w:p w:rsidR="00E32D19" w:rsidRPr="00194705" w:rsidRDefault="00E32D19" w:rsidP="00411BE5">
      <w:pPr>
        <w:spacing w:after="0" w:line="240" w:lineRule="auto"/>
        <w:ind w:left="900" w:right="600" w:firstLine="426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E32D19" w:rsidRPr="00371B4F" w:rsidRDefault="00E32D19" w:rsidP="00411BE5">
      <w:pPr>
        <w:spacing w:after="0" w:line="240" w:lineRule="auto"/>
        <w:ind w:right="-1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1B4F">
        <w:rPr>
          <w:rFonts w:ascii="Times New Roman" w:eastAsia="Times New Roman" w:hAnsi="Times New Roman"/>
          <w:sz w:val="24"/>
          <w:szCs w:val="24"/>
          <w:lang w:eastAsia="ru-RU"/>
        </w:rPr>
        <w:t>Уровень выполнения плановых значений целевых индикаторов и показателей результативности городских целевых программ в 201</w:t>
      </w:r>
      <w:r w:rsidR="004B260C" w:rsidRPr="00371B4F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371B4F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 составил 96%, </w:t>
      </w:r>
      <w:r w:rsidR="00371B4F" w:rsidRPr="00371B4F">
        <w:rPr>
          <w:rFonts w:ascii="Times New Roman" w:eastAsia="Times New Roman" w:hAnsi="Times New Roman"/>
          <w:sz w:val="24"/>
          <w:szCs w:val="24"/>
          <w:lang w:eastAsia="ru-RU"/>
        </w:rPr>
        <w:t>этот показатель остался на уровне прошлого года</w:t>
      </w:r>
      <w:r w:rsidRPr="00371B4F">
        <w:rPr>
          <w:rFonts w:ascii="Times New Roman" w:eastAsia="Times New Roman" w:hAnsi="Times New Roman"/>
          <w:sz w:val="24"/>
          <w:szCs w:val="24"/>
          <w:lang w:eastAsia="ru-RU"/>
        </w:rPr>
        <w:t xml:space="preserve">. По  </w:t>
      </w:r>
      <w:r w:rsidR="00371B4F" w:rsidRPr="00371B4F">
        <w:rPr>
          <w:rFonts w:ascii="Times New Roman" w:eastAsia="Times New Roman" w:hAnsi="Times New Roman"/>
          <w:sz w:val="24"/>
          <w:szCs w:val="24"/>
          <w:lang w:eastAsia="ru-RU"/>
        </w:rPr>
        <w:t>157</w:t>
      </w:r>
      <w:r w:rsidRPr="00371B4F">
        <w:rPr>
          <w:rFonts w:ascii="Times New Roman" w:eastAsia="Times New Roman" w:hAnsi="Times New Roman"/>
          <w:sz w:val="24"/>
          <w:szCs w:val="24"/>
          <w:lang w:eastAsia="ru-RU"/>
        </w:rPr>
        <w:t xml:space="preserve">  из </w:t>
      </w:r>
      <w:r w:rsidR="00371B4F" w:rsidRPr="00371B4F">
        <w:rPr>
          <w:rFonts w:ascii="Times New Roman" w:eastAsia="Times New Roman" w:hAnsi="Times New Roman"/>
          <w:sz w:val="24"/>
          <w:szCs w:val="24"/>
          <w:lang w:eastAsia="ru-RU"/>
        </w:rPr>
        <w:t>216</w:t>
      </w:r>
      <w:r w:rsidRPr="00371B4F">
        <w:rPr>
          <w:rFonts w:ascii="Times New Roman" w:eastAsia="Times New Roman" w:hAnsi="Times New Roman"/>
          <w:sz w:val="24"/>
          <w:szCs w:val="24"/>
          <w:lang w:eastAsia="ru-RU"/>
        </w:rPr>
        <w:t xml:space="preserve"> целевых индикаторов, по кото</w:t>
      </w:r>
      <w:r w:rsidR="00371B4F" w:rsidRPr="00371B4F">
        <w:rPr>
          <w:rFonts w:ascii="Times New Roman" w:eastAsia="Times New Roman" w:hAnsi="Times New Roman"/>
          <w:sz w:val="24"/>
          <w:szCs w:val="24"/>
          <w:lang w:eastAsia="ru-RU"/>
        </w:rPr>
        <w:t xml:space="preserve">рым к моменту отчета </w:t>
      </w:r>
      <w:r w:rsidRPr="00371B4F">
        <w:rPr>
          <w:rFonts w:ascii="Times New Roman" w:eastAsia="Times New Roman" w:hAnsi="Times New Roman"/>
          <w:sz w:val="24"/>
          <w:szCs w:val="24"/>
          <w:lang w:eastAsia="ru-RU"/>
        </w:rPr>
        <w:t>ответственными исполнителями представлена информация, плановые значения достигнуты или  выполнены более чем на 100%.</w:t>
      </w:r>
    </w:p>
    <w:p w:rsidR="00E32D19" w:rsidRPr="00371B4F" w:rsidRDefault="00E32D19" w:rsidP="00411BE5">
      <w:pPr>
        <w:spacing w:after="0" w:line="240" w:lineRule="auto"/>
        <w:ind w:right="-1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1B4F">
        <w:rPr>
          <w:rFonts w:ascii="Times New Roman" w:eastAsia="Times New Roman" w:hAnsi="Times New Roman"/>
          <w:sz w:val="24"/>
          <w:szCs w:val="24"/>
          <w:lang w:eastAsia="ru-RU"/>
        </w:rPr>
        <w:t xml:space="preserve">По </w:t>
      </w:r>
      <w:r w:rsidR="00371B4F" w:rsidRPr="00371B4F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371B4F">
        <w:rPr>
          <w:rFonts w:ascii="Times New Roman" w:eastAsia="Times New Roman" w:hAnsi="Times New Roman"/>
          <w:sz w:val="24"/>
          <w:szCs w:val="24"/>
          <w:lang w:eastAsia="ru-RU"/>
        </w:rPr>
        <w:t xml:space="preserve"> показателям,  из </w:t>
      </w:r>
      <w:r w:rsidR="00371B4F" w:rsidRPr="00371B4F">
        <w:rPr>
          <w:rFonts w:ascii="Times New Roman" w:eastAsia="Times New Roman" w:hAnsi="Times New Roman"/>
          <w:sz w:val="24"/>
          <w:szCs w:val="24"/>
          <w:lang w:eastAsia="ru-RU"/>
        </w:rPr>
        <w:t>216</w:t>
      </w:r>
      <w:r w:rsidRPr="00371B4F">
        <w:rPr>
          <w:rFonts w:ascii="Times New Roman" w:eastAsia="Times New Roman" w:hAnsi="Times New Roman"/>
          <w:sz w:val="24"/>
          <w:szCs w:val="24"/>
          <w:lang w:eastAsia="ru-RU"/>
        </w:rPr>
        <w:t xml:space="preserve"> степень выполнения плана определить невозможно из-за отсутствия информации. В сравнении с 201</w:t>
      </w:r>
      <w:r w:rsidR="00371B4F" w:rsidRPr="00371B4F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371B4F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годом количество целевых индикаторов </w:t>
      </w:r>
      <w:r w:rsidR="00371B4F" w:rsidRPr="00371B4F">
        <w:rPr>
          <w:rFonts w:ascii="Times New Roman" w:eastAsia="Times New Roman" w:hAnsi="Times New Roman"/>
          <w:sz w:val="24"/>
          <w:szCs w:val="24"/>
          <w:lang w:eastAsia="ru-RU"/>
        </w:rPr>
        <w:t>увеличилось</w:t>
      </w:r>
      <w:r w:rsidRPr="00371B4F">
        <w:rPr>
          <w:rFonts w:ascii="Times New Roman" w:eastAsia="Times New Roman" w:hAnsi="Times New Roman"/>
          <w:sz w:val="24"/>
          <w:szCs w:val="24"/>
          <w:lang w:eastAsia="ru-RU"/>
        </w:rPr>
        <w:t xml:space="preserve"> на </w:t>
      </w:r>
      <w:r w:rsidR="00371B4F" w:rsidRPr="00371B4F">
        <w:rPr>
          <w:rFonts w:ascii="Times New Roman" w:eastAsia="Times New Roman" w:hAnsi="Times New Roman"/>
          <w:sz w:val="24"/>
          <w:szCs w:val="24"/>
          <w:lang w:eastAsia="ru-RU"/>
        </w:rPr>
        <w:t>47</w:t>
      </w:r>
      <w:r w:rsidRPr="00371B4F">
        <w:rPr>
          <w:rFonts w:ascii="Times New Roman" w:eastAsia="Times New Roman" w:hAnsi="Times New Roman"/>
          <w:sz w:val="24"/>
          <w:szCs w:val="24"/>
          <w:lang w:eastAsia="ru-RU"/>
        </w:rPr>
        <w:t xml:space="preserve">, а количество не представленных </w:t>
      </w:r>
      <w:r w:rsidR="00371B4F" w:rsidRPr="00371B4F">
        <w:rPr>
          <w:rFonts w:ascii="Times New Roman" w:eastAsia="Times New Roman" w:hAnsi="Times New Roman"/>
          <w:sz w:val="24"/>
          <w:szCs w:val="24"/>
          <w:lang w:eastAsia="ru-RU"/>
        </w:rPr>
        <w:t>увеличилось</w:t>
      </w:r>
      <w:r w:rsidRPr="00371B4F">
        <w:rPr>
          <w:rFonts w:ascii="Times New Roman" w:eastAsia="Times New Roman" w:hAnsi="Times New Roman"/>
          <w:sz w:val="24"/>
          <w:szCs w:val="24"/>
          <w:lang w:eastAsia="ru-RU"/>
        </w:rPr>
        <w:t xml:space="preserve"> на </w:t>
      </w:r>
      <w:r w:rsidR="00371B4F" w:rsidRPr="00371B4F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371B4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32D19" w:rsidRPr="00D17AB0" w:rsidRDefault="00E32D19" w:rsidP="00411BE5">
      <w:pPr>
        <w:spacing w:after="0" w:line="240" w:lineRule="auto"/>
        <w:ind w:right="-1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71B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 Оценка эффективности ведомственных и долгосрочных целевых программ, проведённая в соответствии с Постановлением Мэра г. Переславля-Залесского от 01.12.2008 года №1367 «Об утверждении порядка разработки, принятия и реализации целевых программ», представлена в приложении </w:t>
      </w:r>
      <w:r w:rsidR="002B35D6" w:rsidRPr="00371B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«Рейтинг целевых программ по итоговой сводной оценке баллов за 201</w:t>
      </w:r>
      <w:r w:rsidR="004B260C" w:rsidRPr="00371B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="002B35D6" w:rsidRPr="00371B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год»</w:t>
      </w:r>
      <w:r w:rsidRPr="00371B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bookmarkStart w:id="0" w:name="_GoBack"/>
      <w:bookmarkEnd w:id="0"/>
    </w:p>
    <w:p w:rsidR="00E32D19" w:rsidRDefault="00E32D19" w:rsidP="00E32D19"/>
    <w:sectPr w:rsidR="00E32D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48F"/>
    <w:rsid w:val="00000282"/>
    <w:rsid w:val="00002513"/>
    <w:rsid w:val="00004141"/>
    <w:rsid w:val="00017E89"/>
    <w:rsid w:val="000306C0"/>
    <w:rsid w:val="0003725B"/>
    <w:rsid w:val="0004003D"/>
    <w:rsid w:val="0005048F"/>
    <w:rsid w:val="00054144"/>
    <w:rsid w:val="0006793E"/>
    <w:rsid w:val="000712A2"/>
    <w:rsid w:val="00083810"/>
    <w:rsid w:val="000A1C5B"/>
    <w:rsid w:val="000A31B2"/>
    <w:rsid w:val="000A63DB"/>
    <w:rsid w:val="000A72F3"/>
    <w:rsid w:val="000B6366"/>
    <w:rsid w:val="000C272F"/>
    <w:rsid w:val="000C7C71"/>
    <w:rsid w:val="000D0C0E"/>
    <w:rsid w:val="000D60E7"/>
    <w:rsid w:val="000E5FBA"/>
    <w:rsid w:val="000F5555"/>
    <w:rsid w:val="001048F4"/>
    <w:rsid w:val="00111032"/>
    <w:rsid w:val="00114F28"/>
    <w:rsid w:val="00115541"/>
    <w:rsid w:val="00121E9D"/>
    <w:rsid w:val="00125172"/>
    <w:rsid w:val="00130BCC"/>
    <w:rsid w:val="00137665"/>
    <w:rsid w:val="00141301"/>
    <w:rsid w:val="00143728"/>
    <w:rsid w:val="00147559"/>
    <w:rsid w:val="001506B1"/>
    <w:rsid w:val="00152517"/>
    <w:rsid w:val="00153273"/>
    <w:rsid w:val="00163CB1"/>
    <w:rsid w:val="001667E5"/>
    <w:rsid w:val="00166A37"/>
    <w:rsid w:val="00167C42"/>
    <w:rsid w:val="00172C20"/>
    <w:rsid w:val="00183FCE"/>
    <w:rsid w:val="00185F08"/>
    <w:rsid w:val="001920D5"/>
    <w:rsid w:val="00192B04"/>
    <w:rsid w:val="0019374B"/>
    <w:rsid w:val="00194705"/>
    <w:rsid w:val="001B24E0"/>
    <w:rsid w:val="001B26BC"/>
    <w:rsid w:val="001B4EC7"/>
    <w:rsid w:val="001B6054"/>
    <w:rsid w:val="001C1B05"/>
    <w:rsid w:val="001C3A6F"/>
    <w:rsid w:val="001C3BDE"/>
    <w:rsid w:val="001D0020"/>
    <w:rsid w:val="001E093A"/>
    <w:rsid w:val="001E12AF"/>
    <w:rsid w:val="001E6F62"/>
    <w:rsid w:val="001E70E9"/>
    <w:rsid w:val="001F757B"/>
    <w:rsid w:val="0020416B"/>
    <w:rsid w:val="002166B6"/>
    <w:rsid w:val="0021745F"/>
    <w:rsid w:val="00217A98"/>
    <w:rsid w:val="00217D6A"/>
    <w:rsid w:val="002202A2"/>
    <w:rsid w:val="002274C3"/>
    <w:rsid w:val="002378AF"/>
    <w:rsid w:val="00247CD8"/>
    <w:rsid w:val="00247F9B"/>
    <w:rsid w:val="0025084D"/>
    <w:rsid w:val="00251B7D"/>
    <w:rsid w:val="00264095"/>
    <w:rsid w:val="0026602A"/>
    <w:rsid w:val="00266734"/>
    <w:rsid w:val="002729F7"/>
    <w:rsid w:val="00286B90"/>
    <w:rsid w:val="00287A10"/>
    <w:rsid w:val="00290951"/>
    <w:rsid w:val="00292A7E"/>
    <w:rsid w:val="0029306F"/>
    <w:rsid w:val="002A1E6C"/>
    <w:rsid w:val="002B35D6"/>
    <w:rsid w:val="002B3CDA"/>
    <w:rsid w:val="002C1DDA"/>
    <w:rsid w:val="002E6724"/>
    <w:rsid w:val="002F4CFA"/>
    <w:rsid w:val="002F5FBC"/>
    <w:rsid w:val="00304B41"/>
    <w:rsid w:val="0032030C"/>
    <w:rsid w:val="0032074A"/>
    <w:rsid w:val="00326823"/>
    <w:rsid w:val="0033090B"/>
    <w:rsid w:val="00331A8F"/>
    <w:rsid w:val="00331F84"/>
    <w:rsid w:val="003537E8"/>
    <w:rsid w:val="003671C2"/>
    <w:rsid w:val="00370E16"/>
    <w:rsid w:val="00371B4F"/>
    <w:rsid w:val="00373C82"/>
    <w:rsid w:val="00375232"/>
    <w:rsid w:val="0037662C"/>
    <w:rsid w:val="00390912"/>
    <w:rsid w:val="003954AD"/>
    <w:rsid w:val="003965EB"/>
    <w:rsid w:val="003A2150"/>
    <w:rsid w:val="003B0D80"/>
    <w:rsid w:val="003B6920"/>
    <w:rsid w:val="003C7CF5"/>
    <w:rsid w:val="003D1C21"/>
    <w:rsid w:val="003D729B"/>
    <w:rsid w:val="0040286E"/>
    <w:rsid w:val="00406797"/>
    <w:rsid w:val="00411BE5"/>
    <w:rsid w:val="00414C08"/>
    <w:rsid w:val="00421911"/>
    <w:rsid w:val="00421D02"/>
    <w:rsid w:val="0042376D"/>
    <w:rsid w:val="0043288D"/>
    <w:rsid w:val="004330C9"/>
    <w:rsid w:val="00441493"/>
    <w:rsid w:val="00447E9F"/>
    <w:rsid w:val="00450E00"/>
    <w:rsid w:val="00451338"/>
    <w:rsid w:val="00463065"/>
    <w:rsid w:val="004639EB"/>
    <w:rsid w:val="0046507C"/>
    <w:rsid w:val="004667B0"/>
    <w:rsid w:val="00473DF2"/>
    <w:rsid w:val="00477062"/>
    <w:rsid w:val="00487428"/>
    <w:rsid w:val="004927E2"/>
    <w:rsid w:val="00493D82"/>
    <w:rsid w:val="00495334"/>
    <w:rsid w:val="004A1BC0"/>
    <w:rsid w:val="004A4324"/>
    <w:rsid w:val="004A5A22"/>
    <w:rsid w:val="004B260C"/>
    <w:rsid w:val="004C11D2"/>
    <w:rsid w:val="004C22CB"/>
    <w:rsid w:val="004C2C78"/>
    <w:rsid w:val="004D77F5"/>
    <w:rsid w:val="004E087F"/>
    <w:rsid w:val="004E2DBE"/>
    <w:rsid w:val="004E735C"/>
    <w:rsid w:val="004F1348"/>
    <w:rsid w:val="004F337F"/>
    <w:rsid w:val="00501229"/>
    <w:rsid w:val="00503592"/>
    <w:rsid w:val="00504806"/>
    <w:rsid w:val="00511B00"/>
    <w:rsid w:val="00513CC3"/>
    <w:rsid w:val="00516F18"/>
    <w:rsid w:val="00530D22"/>
    <w:rsid w:val="00546E3F"/>
    <w:rsid w:val="005473C4"/>
    <w:rsid w:val="0055500A"/>
    <w:rsid w:val="0057026C"/>
    <w:rsid w:val="00583E03"/>
    <w:rsid w:val="00585321"/>
    <w:rsid w:val="00592084"/>
    <w:rsid w:val="005955D7"/>
    <w:rsid w:val="00597D4B"/>
    <w:rsid w:val="005A17D2"/>
    <w:rsid w:val="005B504D"/>
    <w:rsid w:val="005C14FD"/>
    <w:rsid w:val="005C224C"/>
    <w:rsid w:val="005C65C0"/>
    <w:rsid w:val="005D02E1"/>
    <w:rsid w:val="005D1656"/>
    <w:rsid w:val="005E37F8"/>
    <w:rsid w:val="005E6594"/>
    <w:rsid w:val="005F0B76"/>
    <w:rsid w:val="005F3AC9"/>
    <w:rsid w:val="0061366A"/>
    <w:rsid w:val="006172CE"/>
    <w:rsid w:val="00620FD9"/>
    <w:rsid w:val="006435F8"/>
    <w:rsid w:val="00645E33"/>
    <w:rsid w:val="00656BF0"/>
    <w:rsid w:val="00664496"/>
    <w:rsid w:val="00671ED5"/>
    <w:rsid w:val="006724A3"/>
    <w:rsid w:val="006865D9"/>
    <w:rsid w:val="00694FA3"/>
    <w:rsid w:val="0069672E"/>
    <w:rsid w:val="006A2364"/>
    <w:rsid w:val="006C1685"/>
    <w:rsid w:val="006E34D9"/>
    <w:rsid w:val="006E4B72"/>
    <w:rsid w:val="006E61AA"/>
    <w:rsid w:val="006E7AD1"/>
    <w:rsid w:val="006F0190"/>
    <w:rsid w:val="006F7C05"/>
    <w:rsid w:val="0070558E"/>
    <w:rsid w:val="00717E3F"/>
    <w:rsid w:val="0073624B"/>
    <w:rsid w:val="00750A63"/>
    <w:rsid w:val="00753D53"/>
    <w:rsid w:val="007569C3"/>
    <w:rsid w:val="007576B9"/>
    <w:rsid w:val="0076089A"/>
    <w:rsid w:val="00761F7E"/>
    <w:rsid w:val="00770765"/>
    <w:rsid w:val="00781BC4"/>
    <w:rsid w:val="007831C6"/>
    <w:rsid w:val="007876F2"/>
    <w:rsid w:val="007931FD"/>
    <w:rsid w:val="007A6E6C"/>
    <w:rsid w:val="007A70DD"/>
    <w:rsid w:val="007A72FF"/>
    <w:rsid w:val="007A7CA9"/>
    <w:rsid w:val="007B0332"/>
    <w:rsid w:val="007B331A"/>
    <w:rsid w:val="007B3F65"/>
    <w:rsid w:val="007C06C9"/>
    <w:rsid w:val="007E1FB7"/>
    <w:rsid w:val="007E7B0A"/>
    <w:rsid w:val="00800E77"/>
    <w:rsid w:val="00804E39"/>
    <w:rsid w:val="0080739F"/>
    <w:rsid w:val="0082395A"/>
    <w:rsid w:val="00826402"/>
    <w:rsid w:val="00831EBF"/>
    <w:rsid w:val="008417A8"/>
    <w:rsid w:val="008440F7"/>
    <w:rsid w:val="00857B32"/>
    <w:rsid w:val="00857FDC"/>
    <w:rsid w:val="00860455"/>
    <w:rsid w:val="00863D14"/>
    <w:rsid w:val="008676DD"/>
    <w:rsid w:val="00873A24"/>
    <w:rsid w:val="0088113C"/>
    <w:rsid w:val="00884120"/>
    <w:rsid w:val="00884D33"/>
    <w:rsid w:val="00886480"/>
    <w:rsid w:val="00887960"/>
    <w:rsid w:val="008A3812"/>
    <w:rsid w:val="008B5BC5"/>
    <w:rsid w:val="008B5E1A"/>
    <w:rsid w:val="008B7F08"/>
    <w:rsid w:val="008C4081"/>
    <w:rsid w:val="008D2FAD"/>
    <w:rsid w:val="008F5307"/>
    <w:rsid w:val="008F62B6"/>
    <w:rsid w:val="009067B6"/>
    <w:rsid w:val="009072B3"/>
    <w:rsid w:val="0091160A"/>
    <w:rsid w:val="0091190E"/>
    <w:rsid w:val="00934A89"/>
    <w:rsid w:val="00954CCC"/>
    <w:rsid w:val="0096350F"/>
    <w:rsid w:val="009642C2"/>
    <w:rsid w:val="009764A4"/>
    <w:rsid w:val="00984C0C"/>
    <w:rsid w:val="00986576"/>
    <w:rsid w:val="00990452"/>
    <w:rsid w:val="009944D2"/>
    <w:rsid w:val="00997E6B"/>
    <w:rsid w:val="009A47F7"/>
    <w:rsid w:val="009A7E07"/>
    <w:rsid w:val="009B2063"/>
    <w:rsid w:val="009B6350"/>
    <w:rsid w:val="009D262A"/>
    <w:rsid w:val="009D3269"/>
    <w:rsid w:val="009D5300"/>
    <w:rsid w:val="009E3E11"/>
    <w:rsid w:val="009E566A"/>
    <w:rsid w:val="009E670C"/>
    <w:rsid w:val="009E6A60"/>
    <w:rsid w:val="009F6A6D"/>
    <w:rsid w:val="00A15529"/>
    <w:rsid w:val="00A27874"/>
    <w:rsid w:val="00A311DB"/>
    <w:rsid w:val="00A327C9"/>
    <w:rsid w:val="00A3712F"/>
    <w:rsid w:val="00A427EC"/>
    <w:rsid w:val="00A43122"/>
    <w:rsid w:val="00A45309"/>
    <w:rsid w:val="00A542E6"/>
    <w:rsid w:val="00A55888"/>
    <w:rsid w:val="00A57EE8"/>
    <w:rsid w:val="00A7313B"/>
    <w:rsid w:val="00A8017B"/>
    <w:rsid w:val="00A87898"/>
    <w:rsid w:val="00AA0B5A"/>
    <w:rsid w:val="00AB316F"/>
    <w:rsid w:val="00AC0AB0"/>
    <w:rsid w:val="00AC162A"/>
    <w:rsid w:val="00AC28DD"/>
    <w:rsid w:val="00AC57FA"/>
    <w:rsid w:val="00AC5C3F"/>
    <w:rsid w:val="00AE211F"/>
    <w:rsid w:val="00AE3218"/>
    <w:rsid w:val="00AE4EF8"/>
    <w:rsid w:val="00AF7DEE"/>
    <w:rsid w:val="00B06A2B"/>
    <w:rsid w:val="00B16992"/>
    <w:rsid w:val="00B3173F"/>
    <w:rsid w:val="00B420BC"/>
    <w:rsid w:val="00B4438E"/>
    <w:rsid w:val="00B51075"/>
    <w:rsid w:val="00B538C5"/>
    <w:rsid w:val="00B740AF"/>
    <w:rsid w:val="00B8157F"/>
    <w:rsid w:val="00B847CC"/>
    <w:rsid w:val="00B93F1A"/>
    <w:rsid w:val="00BA209F"/>
    <w:rsid w:val="00BA2666"/>
    <w:rsid w:val="00BA560B"/>
    <w:rsid w:val="00BB3765"/>
    <w:rsid w:val="00BB41C3"/>
    <w:rsid w:val="00BC100D"/>
    <w:rsid w:val="00BC3C09"/>
    <w:rsid w:val="00BD2499"/>
    <w:rsid w:val="00BE0E01"/>
    <w:rsid w:val="00BE7BCF"/>
    <w:rsid w:val="00BF2B65"/>
    <w:rsid w:val="00BF34C3"/>
    <w:rsid w:val="00C07941"/>
    <w:rsid w:val="00C10B39"/>
    <w:rsid w:val="00C13F67"/>
    <w:rsid w:val="00C1510E"/>
    <w:rsid w:val="00C159BD"/>
    <w:rsid w:val="00C24C47"/>
    <w:rsid w:val="00C60EBD"/>
    <w:rsid w:val="00C71926"/>
    <w:rsid w:val="00C75E7D"/>
    <w:rsid w:val="00C8656B"/>
    <w:rsid w:val="00CA0B7B"/>
    <w:rsid w:val="00CB04D0"/>
    <w:rsid w:val="00CB297F"/>
    <w:rsid w:val="00CC1BDC"/>
    <w:rsid w:val="00CC2D0F"/>
    <w:rsid w:val="00CC5844"/>
    <w:rsid w:val="00CD2C69"/>
    <w:rsid w:val="00CD4D55"/>
    <w:rsid w:val="00CE1060"/>
    <w:rsid w:val="00CE22B5"/>
    <w:rsid w:val="00CF398D"/>
    <w:rsid w:val="00D05F2E"/>
    <w:rsid w:val="00D17AB0"/>
    <w:rsid w:val="00D22730"/>
    <w:rsid w:val="00D22C6B"/>
    <w:rsid w:val="00D278B9"/>
    <w:rsid w:val="00D27FFE"/>
    <w:rsid w:val="00D30EED"/>
    <w:rsid w:val="00D360F4"/>
    <w:rsid w:val="00D37B87"/>
    <w:rsid w:val="00D44696"/>
    <w:rsid w:val="00D45972"/>
    <w:rsid w:val="00D46BCE"/>
    <w:rsid w:val="00D509F5"/>
    <w:rsid w:val="00D67F0B"/>
    <w:rsid w:val="00D76FCF"/>
    <w:rsid w:val="00D816F4"/>
    <w:rsid w:val="00D81730"/>
    <w:rsid w:val="00D84647"/>
    <w:rsid w:val="00D85630"/>
    <w:rsid w:val="00D90908"/>
    <w:rsid w:val="00D97A8C"/>
    <w:rsid w:val="00DA6121"/>
    <w:rsid w:val="00DC238C"/>
    <w:rsid w:val="00DC6196"/>
    <w:rsid w:val="00DE4AAE"/>
    <w:rsid w:val="00DE5A13"/>
    <w:rsid w:val="00DE60D7"/>
    <w:rsid w:val="00DE704A"/>
    <w:rsid w:val="00DF78B5"/>
    <w:rsid w:val="00E038D2"/>
    <w:rsid w:val="00E12E0D"/>
    <w:rsid w:val="00E144CA"/>
    <w:rsid w:val="00E1737A"/>
    <w:rsid w:val="00E27BED"/>
    <w:rsid w:val="00E32D19"/>
    <w:rsid w:val="00E33471"/>
    <w:rsid w:val="00E37641"/>
    <w:rsid w:val="00E532F0"/>
    <w:rsid w:val="00E60292"/>
    <w:rsid w:val="00E71F25"/>
    <w:rsid w:val="00E74405"/>
    <w:rsid w:val="00E75F2D"/>
    <w:rsid w:val="00E777B3"/>
    <w:rsid w:val="00E777CE"/>
    <w:rsid w:val="00E961AC"/>
    <w:rsid w:val="00EA02AC"/>
    <w:rsid w:val="00EA035E"/>
    <w:rsid w:val="00EB33BB"/>
    <w:rsid w:val="00EB4FCE"/>
    <w:rsid w:val="00EC5373"/>
    <w:rsid w:val="00ED1A24"/>
    <w:rsid w:val="00EE1CFA"/>
    <w:rsid w:val="00EE3088"/>
    <w:rsid w:val="00EE31D2"/>
    <w:rsid w:val="00EF0EBD"/>
    <w:rsid w:val="00EF25E9"/>
    <w:rsid w:val="00EF3902"/>
    <w:rsid w:val="00EF51D9"/>
    <w:rsid w:val="00F00A91"/>
    <w:rsid w:val="00F0794B"/>
    <w:rsid w:val="00F22390"/>
    <w:rsid w:val="00F25ACC"/>
    <w:rsid w:val="00F34145"/>
    <w:rsid w:val="00F43C84"/>
    <w:rsid w:val="00F524A2"/>
    <w:rsid w:val="00F54F5D"/>
    <w:rsid w:val="00F554D8"/>
    <w:rsid w:val="00F57F8F"/>
    <w:rsid w:val="00F64E8F"/>
    <w:rsid w:val="00F71E4A"/>
    <w:rsid w:val="00F92850"/>
    <w:rsid w:val="00F92BAC"/>
    <w:rsid w:val="00F94C4E"/>
    <w:rsid w:val="00F95DC4"/>
    <w:rsid w:val="00F96B66"/>
    <w:rsid w:val="00FA039D"/>
    <w:rsid w:val="00FD0AEA"/>
    <w:rsid w:val="00FE0D06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48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rsid w:val="0005048F"/>
    <w:pPr>
      <w:spacing w:after="160" w:line="240" w:lineRule="exact"/>
      <w:jc w:val="both"/>
    </w:pPr>
    <w:rPr>
      <w:rFonts w:ascii="Verdana" w:eastAsia="Times New Roman" w:hAnsi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0400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003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48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rsid w:val="0005048F"/>
    <w:pPr>
      <w:spacing w:after="160" w:line="240" w:lineRule="exact"/>
      <w:jc w:val="both"/>
    </w:pPr>
    <w:rPr>
      <w:rFonts w:ascii="Verdana" w:eastAsia="Times New Roman" w:hAnsi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0400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003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oleObject" Target="&#1044;&#1080;&#1072;&#1075;&#1088;&#1072;&#1084;&#1084;&#1072;%20&#1074;%20Microsoft%20Word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1.bin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100" b="0">
                <a:latin typeface="Times New Roman" pitchFamily="18" charset="0"/>
                <a:cs typeface="Times New Roman" pitchFamily="18" charset="0"/>
              </a:rPr>
              <a:t>Рис.</a:t>
            </a:r>
            <a:r>
              <a:rPr lang="ru-RU" sz="1100" b="0" baseline="0">
                <a:latin typeface="Times New Roman" pitchFamily="18" charset="0"/>
                <a:cs typeface="Times New Roman" pitchFamily="18" charset="0"/>
              </a:rPr>
              <a:t> 1 . Финансирование городских целевых, долгосрочных и ведомственных целевых программ из городского бюджета, тыс. руб.</a:t>
            </a:r>
            <a:endParaRPr lang="ru-RU" sz="1100" b="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3170510944196492"/>
          <c:y val="0.8103254005761996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8017000203054848"/>
          <c:y val="0.10938967136150235"/>
          <c:w val="0.75600591115222349"/>
          <c:h val="0.6184712287362859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'[Диаграмма в Microsoft Word]Лист1'!$A$2</c:f>
              <c:strCache>
                <c:ptCount val="1"/>
                <c:pt idx="0">
                  <c:v>План</c:v>
                </c:pt>
              </c:strCache>
            </c:strRef>
          </c:tx>
          <c:spPr>
            <a:solidFill>
              <a:srgbClr val="99FF66"/>
            </a:solidFill>
            <a:ln w="9525" cap="sq">
              <a:solidFill>
                <a:schemeClr val="tx1"/>
              </a:solidFill>
              <a:prstDash val="solid"/>
              <a:round/>
            </a:ln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pPr>
                      <a:defRPr sz="1100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1000"/>
                      <a:t>877 722,0</a:t>
                    </a:r>
                    <a:endParaRPr lang="en-US" sz="1000"/>
                  </a:p>
                </c:rich>
              </c:tx>
              <c:spPr>
                <a:solidFill>
                  <a:srgbClr val="99FF66"/>
                </a:solidFill>
              </c:sp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ru-RU" sz="1000"/>
                      <a:t>1 052 092,0</a:t>
                    </a:r>
                    <a:endParaRPr lang="en-US" sz="1000"/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99FF66"/>
              </a:solidFill>
            </c:spPr>
            <c:txPr>
              <a:bodyPr/>
              <a:lstStyle/>
              <a:p>
                <a:pPr>
                  <a:defRPr sz="9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'[Диаграмма в Microsoft Word]Лист1'!$B$1:$C$1</c:f>
              <c:numCache>
                <c:formatCode>0</c:formatCode>
                <c:ptCount val="2"/>
                <c:pt idx="0">
                  <c:v>2012</c:v>
                </c:pt>
                <c:pt idx="1">
                  <c:v>2013</c:v>
                </c:pt>
              </c:numCache>
            </c:numRef>
          </c:cat>
          <c:val>
            <c:numRef>
              <c:f>'[Диаграмма в Microsoft Word]Лист1'!$B$2:$C$2</c:f>
              <c:numCache>
                <c:formatCode>0.0</c:formatCode>
                <c:ptCount val="2"/>
                <c:pt idx="0">
                  <c:v>877722</c:v>
                </c:pt>
                <c:pt idx="1">
                  <c:v>1052092</c:v>
                </c:pt>
              </c:numCache>
            </c:numRef>
          </c:val>
        </c:ser>
        <c:ser>
          <c:idx val="1"/>
          <c:order val="1"/>
          <c:tx>
            <c:strRef>
              <c:f>'[Диаграмма в Microsoft Word]Лист1'!$A$3</c:f>
              <c:strCache>
                <c:ptCount val="1"/>
                <c:pt idx="0">
                  <c:v>Факт</c:v>
                </c:pt>
              </c:strCache>
            </c:strRef>
          </c:tx>
          <c:spPr>
            <a:solidFill>
              <a:srgbClr val="FFFF66"/>
            </a:solidFill>
            <a:ln>
              <a:solidFill>
                <a:schemeClr val="tx1"/>
              </a:solidFill>
            </a:ln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ru-RU" sz="1000"/>
                      <a:t>854 590,0</a:t>
                    </a:r>
                    <a:endParaRPr lang="en-US" sz="1000"/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4.7415836889521104E-3"/>
                  <c:y val="0.24421998114935531"/>
                </c:manualLayout>
              </c:layout>
              <c:tx>
                <c:rich>
                  <a:bodyPr/>
                  <a:lstStyle/>
                  <a:p>
                    <a:r>
                      <a:rPr lang="ru-RU" sz="1000"/>
                      <a:t>925 697,2</a:t>
                    </a:r>
                    <a:endParaRPr lang="en-US" sz="1000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66"/>
              </a:solidFill>
            </c:spPr>
            <c:txPr>
              <a:bodyPr/>
              <a:lstStyle/>
              <a:p>
                <a:pPr>
                  <a:defRPr sz="9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</c:dLbls>
          <c:cat>
            <c:numRef>
              <c:f>'[Диаграмма в Microsoft Word]Лист1'!$B$1:$C$1</c:f>
              <c:numCache>
                <c:formatCode>0</c:formatCode>
                <c:ptCount val="2"/>
                <c:pt idx="0">
                  <c:v>2012</c:v>
                </c:pt>
                <c:pt idx="1">
                  <c:v>2013</c:v>
                </c:pt>
              </c:numCache>
            </c:numRef>
          </c:cat>
          <c:val>
            <c:numRef>
              <c:f>'[Диаграмма в Microsoft Word]Лист1'!$B$3:$C$3</c:f>
              <c:numCache>
                <c:formatCode>0.0</c:formatCode>
                <c:ptCount val="2"/>
                <c:pt idx="0">
                  <c:v>854590</c:v>
                </c:pt>
                <c:pt idx="1">
                  <c:v>925697.2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6672256"/>
        <c:axId val="36673792"/>
      </c:barChart>
      <c:catAx>
        <c:axId val="36672256"/>
        <c:scaling>
          <c:orientation val="minMax"/>
        </c:scaling>
        <c:delete val="0"/>
        <c:axPos val="b"/>
        <c:numFmt formatCode="0" sourceLinked="1"/>
        <c:majorTickMark val="none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36673792"/>
        <c:crosses val="autoZero"/>
        <c:auto val="1"/>
        <c:lblAlgn val="ctr"/>
        <c:lblOffset val="100"/>
        <c:noMultiLvlLbl val="0"/>
      </c:catAx>
      <c:valAx>
        <c:axId val="36673792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>
                    <a:latin typeface="Times New Roman" pitchFamily="18" charset="0"/>
                    <a:cs typeface="Times New Roman" pitchFamily="18" charset="0"/>
                  </a:rPr>
                  <a:t>тыс. руб.</a:t>
                </a:r>
              </a:p>
            </c:rich>
          </c:tx>
          <c:overlay val="0"/>
        </c:title>
        <c:numFmt formatCode="0.0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36672256"/>
        <c:crosses val="autoZero"/>
        <c:crossBetween val="between"/>
        <c:majorUnit val="150000"/>
      </c:valAx>
    </c:plotArea>
    <c:legend>
      <c:legendPos val="r"/>
      <c:layout>
        <c:manualLayout>
          <c:xMode val="edge"/>
          <c:yMode val="edge"/>
          <c:x val="0.25324130058185867"/>
          <c:y val="0.11061298019565736"/>
          <c:w val="0.19313755135446775"/>
          <c:h val="0.1116593640443978"/>
        </c:manualLayout>
      </c:layout>
      <c:overlay val="0"/>
      <c:spPr>
        <a:solidFill>
          <a:schemeClr val="bg1"/>
        </a:solidFill>
        <a:ln>
          <a:solidFill>
            <a:schemeClr val="tx1"/>
          </a:solidFill>
        </a:ln>
      </c:spPr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200" b="0" i="0">
                <a:latin typeface="Times New Roman" pitchFamily="18" charset="0"/>
                <a:cs typeface="Times New Roman" pitchFamily="18" charset="0"/>
              </a:rPr>
              <a:t>Рис. 2. </a:t>
            </a:r>
            <a:r>
              <a:rPr lang="ru-RU" sz="1100" b="0" i="0" u="none" strike="noStrike" baseline="0">
                <a:effectLst>
                  <a:outerShdw blurRad="38100" dist="38100" dir="2700000" algn="tl" rotWithShape="0">
                    <a:srgbClr val="000000">
                      <a:alpha val="43000"/>
                    </a:srgbClr>
                  </a:outerShdw>
                </a:effectLst>
                <a:latin typeface="Times New Roman" panose="02020603050405020304" pitchFamily="18" charset="0"/>
                <a:cs typeface="Times New Roman" panose="02020603050405020304" pitchFamily="18" charset="0"/>
              </a:rPr>
              <a:t>Исполнение бюджета по действующим программам за 2013 год в разрезе источников бюджета (млн. руб.)</a:t>
            </a:r>
            <a:r>
              <a:rPr lang="ru-RU" sz="1100" b="0" i="0">
                <a:latin typeface="Times New Roman" pitchFamily="18" charset="0"/>
                <a:cs typeface="Times New Roman" pitchFamily="18" charset="0"/>
              </a:rPr>
              <a:t> </a:t>
            </a:r>
            <a:r>
              <a:rPr lang="ru-RU" sz="1100" b="0" i="0" baseline="0">
                <a:latin typeface="Times New Roman" pitchFamily="18" charset="0"/>
                <a:cs typeface="Times New Roman" pitchFamily="18" charset="0"/>
              </a:rPr>
              <a:t> </a:t>
            </a:r>
            <a:endParaRPr lang="ru-RU" sz="1100" b="0" i="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4005877786403459"/>
          <c:y val="0.83435400876345756"/>
        </c:manualLayout>
      </c:layout>
      <c:overlay val="0"/>
    </c:title>
    <c:autoTitleDeleted val="0"/>
    <c:view3D>
      <c:rotX val="2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5487320246940961"/>
          <c:y val="0.1050919735661973"/>
          <c:w val="0.76258955306643006"/>
          <c:h val="0.63493760265413812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rgbClr val="CC99FF"/>
              </a:solidFill>
            </c:spPr>
          </c:dPt>
          <c:dPt>
            <c:idx val="1"/>
            <c:bubble3D val="0"/>
            <c:spPr>
              <a:solidFill>
                <a:srgbClr val="FFFF66"/>
              </a:solidFill>
            </c:spPr>
          </c:dPt>
          <c:dPt>
            <c:idx val="3"/>
            <c:bubble3D val="0"/>
            <c:spPr>
              <a:solidFill>
                <a:srgbClr val="FF9999"/>
              </a:solidFill>
            </c:spPr>
          </c:dPt>
          <c:dPt>
            <c:idx val="4"/>
            <c:bubble3D val="0"/>
            <c:spPr>
              <a:solidFill>
                <a:srgbClr val="33CCFF"/>
              </a:solidFill>
            </c:spPr>
          </c:dPt>
          <c:dPt>
            <c:idx val="5"/>
            <c:bubble3D val="0"/>
            <c:spPr>
              <a:solidFill>
                <a:srgbClr val="66FF33"/>
              </a:solidFill>
            </c:spPr>
          </c:dPt>
          <c:dLbls>
            <c:dLbl>
              <c:idx val="0"/>
              <c:layout>
                <c:manualLayout>
                  <c:x val="0.12418727588628886"/>
                  <c:y val="7.2264131319249433E-3"/>
                </c:manualLayout>
              </c:layout>
              <c:showLegendKey val="0"/>
              <c:showVal val="1"/>
              <c:showCatName val="1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1.0177997116557614E-2"/>
                  <c:y val="-4.9178336973612562E-2"/>
                </c:manualLayout>
              </c:layout>
              <c:showLegendKey val="0"/>
              <c:showVal val="1"/>
              <c:showCatName val="1"/>
              <c:showSerName val="0"/>
              <c:showPercent val="1"/>
              <c:showBubbleSize val="0"/>
            </c:dLbl>
            <c:dLbl>
              <c:idx val="4"/>
              <c:layout>
                <c:manualLayout>
                  <c:x val="-7.3743669365273004E-2"/>
                  <c:y val="3.3414092469210579E-3"/>
                </c:manualLayout>
              </c:layout>
              <c:showLegendKey val="0"/>
              <c:showVal val="1"/>
              <c:showCatName val="1"/>
              <c:showSerName val="0"/>
              <c:showPercent val="1"/>
              <c:showBubbleSize val="0"/>
            </c:dLbl>
            <c:txPr>
              <a:bodyPr/>
              <a:lstStyle/>
              <a:p>
                <a:pPr>
                  <a:defRPr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1"/>
            <c:showSerName val="0"/>
            <c:showPercent val="1"/>
            <c:showBubbleSize val="0"/>
            <c:showLeaderLines val="1"/>
          </c:dLbls>
          <c:cat>
            <c:strRef>
              <c:f>'[Диаграмма в Microsoft Word]Лист3'!$A$1:$A$5</c:f>
              <c:strCache>
                <c:ptCount val="5"/>
                <c:pt idx="0">
                  <c:v>Средства ФСР ЖКХ</c:v>
                </c:pt>
                <c:pt idx="1">
                  <c:v>Областной бюджет</c:v>
                </c:pt>
                <c:pt idx="2">
                  <c:v>Внебюджетные источники</c:v>
                </c:pt>
                <c:pt idx="3">
                  <c:v>Городской бюджет</c:v>
                </c:pt>
                <c:pt idx="4">
                  <c:v>Федеральный бюджет</c:v>
                </c:pt>
              </c:strCache>
            </c:strRef>
          </c:cat>
          <c:val>
            <c:numRef>
              <c:f>'[Диаграмма в Microsoft Word]Лист3'!$B$1:$B$5</c:f>
              <c:numCache>
                <c:formatCode>0.0</c:formatCode>
                <c:ptCount val="5"/>
                <c:pt idx="0">
                  <c:v>20.6</c:v>
                </c:pt>
                <c:pt idx="1">
                  <c:v>484.1</c:v>
                </c:pt>
                <c:pt idx="2">
                  <c:v>5</c:v>
                </c:pt>
                <c:pt idx="3">
                  <c:v>375.3</c:v>
                </c:pt>
                <c:pt idx="4">
                  <c:v>40.700000000000003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</c:pie3DChart>
    </c:plotArea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200" b="0">
                <a:latin typeface="Times New Roman" pitchFamily="18" charset="0"/>
                <a:cs typeface="Times New Roman" pitchFamily="18" charset="0"/>
              </a:rPr>
              <a:t>Рис. 3.</a:t>
            </a:r>
            <a:r>
              <a:rPr lang="ru-RU" sz="1200" b="0" baseline="0">
                <a:latin typeface="Times New Roman" pitchFamily="18" charset="0"/>
                <a:cs typeface="Times New Roman" pitchFamily="18" charset="0"/>
              </a:rPr>
              <a:t> Финансирование программ в 2013 году по основным направлениям</a:t>
            </a:r>
          </a:p>
          <a:p>
            <a:pPr>
              <a:defRPr/>
            </a:pPr>
            <a:r>
              <a:rPr lang="ru-RU" sz="1200" b="0" baseline="0">
                <a:latin typeface="Times New Roman" pitchFamily="18" charset="0"/>
                <a:cs typeface="Times New Roman" pitchFamily="18" charset="0"/>
              </a:rPr>
              <a:t> (% к общей сумме финансирования программной части)</a:t>
            </a:r>
            <a:endParaRPr lang="ru-RU" sz="1200" b="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6353295626779046"/>
          <c:y val="0.79434897681814931"/>
        </c:manualLayout>
      </c:layout>
      <c:overlay val="0"/>
    </c:title>
    <c:autoTitleDeleted val="0"/>
    <c:view3D>
      <c:rotX val="2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5487320246940961"/>
          <c:y val="0.1050919735661973"/>
          <c:w val="0.7813688957894348"/>
          <c:h val="0.65226261025547905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rgbClr val="CC99FF"/>
              </a:solidFill>
            </c:spPr>
          </c:dPt>
          <c:dPt>
            <c:idx val="1"/>
            <c:bubble3D val="0"/>
            <c:spPr>
              <a:solidFill>
                <a:srgbClr val="FFFF66"/>
              </a:solidFill>
            </c:spPr>
          </c:dPt>
          <c:dPt>
            <c:idx val="3"/>
            <c:bubble3D val="0"/>
            <c:spPr>
              <a:solidFill>
                <a:srgbClr val="FF9999"/>
              </a:solidFill>
            </c:spPr>
          </c:dPt>
          <c:dPt>
            <c:idx val="4"/>
            <c:bubble3D val="0"/>
            <c:spPr>
              <a:solidFill>
                <a:srgbClr val="33CCFF"/>
              </a:solidFill>
            </c:spPr>
          </c:dPt>
          <c:dPt>
            <c:idx val="5"/>
            <c:bubble3D val="0"/>
            <c:spPr>
              <a:solidFill>
                <a:srgbClr val="66FF33"/>
              </a:solidFill>
            </c:spPr>
          </c:dPt>
          <c:dLbls>
            <c:dLbl>
              <c:idx val="0"/>
              <c:layout>
                <c:manualLayout>
                  <c:x val="-0.18318028908358286"/>
                  <c:y val="-0.11147179715743079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0.1386116964252708"/>
                  <c:y val="-0.19036767416651534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-7.2769953051643188E-2"/>
                  <c:y val="-2.0392930443442998E-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0.15625873350338251"/>
                  <c:y val="4.4001496668262377E-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4"/>
              <c:layout>
                <c:manualLayout>
                  <c:x val="4.3383423902998042E-2"/>
                  <c:y val="0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5"/>
              <c:layout>
                <c:manualLayout>
                  <c:x val="7.6673690436582745E-2"/>
                  <c:y val="7.8800684505631845E-3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</c:dLbls>
          <c:cat>
            <c:strRef>
              <c:f>Лист3!$A$1:$A$6</c:f>
              <c:strCache>
                <c:ptCount val="6"/>
                <c:pt idx="0">
                  <c:v>Образование и молодежная политика</c:v>
                </c:pt>
                <c:pt idx="1">
                  <c:v>Соц. политика</c:v>
                </c:pt>
                <c:pt idx="2">
                  <c:v>Культура и туризм</c:v>
                </c:pt>
                <c:pt idx="3">
                  <c:v>ЖКХ</c:v>
                </c:pt>
                <c:pt idx="4">
                  <c:v>Физкультура и спорт</c:v>
                </c:pt>
                <c:pt idx="5">
                  <c:v>Прочие</c:v>
                </c:pt>
              </c:strCache>
            </c:strRef>
          </c:cat>
          <c:val>
            <c:numRef>
              <c:f>Лист3!$B$1:$B$6</c:f>
              <c:numCache>
                <c:formatCode>#,##0.00_р_.</c:formatCode>
                <c:ptCount val="6"/>
                <c:pt idx="0">
                  <c:v>544194592.53999996</c:v>
                </c:pt>
                <c:pt idx="1">
                  <c:v>195034618.15000001</c:v>
                </c:pt>
                <c:pt idx="2">
                  <c:v>10871000</c:v>
                </c:pt>
                <c:pt idx="3">
                  <c:v>252389484.36000001</c:v>
                </c:pt>
                <c:pt idx="4">
                  <c:v>37858823.5</c:v>
                </c:pt>
                <c:pt idx="5">
                  <c:v>11743445.6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</c:pie3DChart>
    </c:plotArea>
    <c:plotVisOnly val="1"/>
    <c:dispBlanksAs val="gap"/>
    <c:showDLblsOverMax val="0"/>
  </c:chart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0.23833</cdr:x>
      <cdr:y>0.73998</cdr:y>
    </cdr:from>
    <cdr:to>
      <cdr:x>0.59</cdr:x>
      <cdr:y>1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1089660" y="2602230"/>
          <a:ext cx="160782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0.385</cdr:x>
      <cdr:y>0.73998</cdr:y>
    </cdr:from>
    <cdr:to>
      <cdr:x>0.585</cdr:x>
      <cdr:y>1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1760220" y="3166110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0.8</cdr:x>
      <cdr:y>0.73998</cdr:y>
    </cdr:from>
    <cdr:to>
      <cdr:x>1</cdr:x>
      <cdr:y>1</cdr:y>
    </cdr:to>
    <cdr:sp macro="" textlink="">
      <cdr:nvSpPr>
        <cdr:cNvPr id="6" name="TextBox 5"/>
        <cdr:cNvSpPr txBox="1"/>
      </cdr:nvSpPr>
      <cdr:spPr>
        <a:xfrm xmlns:a="http://schemas.openxmlformats.org/drawingml/2006/main">
          <a:off x="4076700" y="3150870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734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</cp:lastModifiedBy>
  <cp:revision>4</cp:revision>
  <dcterms:created xsi:type="dcterms:W3CDTF">2014-06-24T09:54:00Z</dcterms:created>
  <dcterms:modified xsi:type="dcterms:W3CDTF">2014-06-24T12:36:00Z</dcterms:modified>
</cp:coreProperties>
</file>